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08" w:rsidRPr="00EC0550" w:rsidRDefault="004A4E08" w:rsidP="00EC0550">
      <w:pPr>
        <w:ind w:firstLineChars="50" w:firstLine="221"/>
        <w:rPr>
          <w:rFonts w:ascii="黑体" w:eastAsia="黑体" w:hAnsi="黑体"/>
          <w:b/>
          <w:color w:val="000000"/>
          <w:sz w:val="44"/>
          <w:szCs w:val="44"/>
        </w:rPr>
      </w:pPr>
      <w:bookmarkStart w:id="0" w:name="_GoBack"/>
      <w:r w:rsidRPr="00EC0550">
        <w:rPr>
          <w:rFonts w:ascii="黑体" w:eastAsia="黑体" w:hAnsi="黑体" w:hint="eastAsia"/>
          <w:b/>
          <w:color w:val="000000"/>
          <w:sz w:val="44"/>
          <w:szCs w:val="44"/>
        </w:rPr>
        <w:t>附件1：会议日程安排</w:t>
      </w:r>
    </w:p>
    <w:bookmarkEnd w:id="0"/>
    <w:p w:rsidR="004A4E08" w:rsidRDefault="004A4E08" w:rsidP="004A4E08">
      <w:pPr>
        <w:ind w:firstLineChars="50" w:firstLine="120"/>
        <w:rPr>
          <w:rFonts w:ascii="黑体" w:eastAsia="黑体" w:hAnsi="黑体"/>
          <w:b/>
          <w:color w:val="000000"/>
          <w:sz w:val="24"/>
          <w:szCs w:val="24"/>
        </w:rPr>
      </w:pPr>
    </w:p>
    <w:tbl>
      <w:tblPr>
        <w:tblW w:w="8712" w:type="dxa"/>
        <w:jc w:val="center"/>
        <w:tblInd w:w="190" w:type="dxa"/>
        <w:tblLayout w:type="fixed"/>
        <w:tblLook w:val="04A0" w:firstRow="1" w:lastRow="0" w:firstColumn="1" w:lastColumn="0" w:noHBand="0" w:noVBand="1"/>
      </w:tblPr>
      <w:tblGrid>
        <w:gridCol w:w="1566"/>
        <w:gridCol w:w="1760"/>
        <w:gridCol w:w="5386"/>
      </w:tblGrid>
      <w:tr w:rsidR="004A4E08" w:rsidTr="00F578C2">
        <w:trPr>
          <w:trHeight w:val="436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4A4E08" w:rsidTr="00F578C2">
        <w:trPr>
          <w:trHeight w:val="551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6月9日</w:t>
            </w:r>
          </w:p>
          <w:p w:rsidR="004A4E08" w:rsidRDefault="004A4E08" w:rsidP="00F578C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13：00-18：00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参会委员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报到（地点：广州亚洲国际大酒店大堂）</w:t>
            </w:r>
          </w:p>
        </w:tc>
      </w:tr>
      <w:tr w:rsidR="004A4E08" w:rsidTr="00F578C2">
        <w:trPr>
          <w:trHeight w:val="545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学委会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会议</w:t>
            </w:r>
          </w:p>
        </w:tc>
      </w:tr>
      <w:tr w:rsidR="004A4E08" w:rsidTr="00F578C2">
        <w:trPr>
          <w:trHeight w:val="460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6月10日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参会代表报到、签到</w:t>
            </w:r>
          </w:p>
        </w:tc>
      </w:tr>
      <w:tr w:rsidR="004A4E08" w:rsidTr="00F578C2">
        <w:trPr>
          <w:trHeight w:val="47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中国城市规划学会理事长孙安军先生致辞</w:t>
            </w:r>
          </w:p>
        </w:tc>
      </w:tr>
      <w:tr w:rsidR="004A4E08" w:rsidTr="00F578C2">
        <w:trPr>
          <w:trHeight w:val="47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广东省住房和城乡建设厅张少康厅长致辞</w:t>
            </w:r>
          </w:p>
        </w:tc>
      </w:tr>
      <w:tr w:rsidR="004A4E08" w:rsidTr="00F578C2">
        <w:trPr>
          <w:trHeight w:val="47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广州市国土资源与规划委员会彭高峰主任致辞</w:t>
            </w:r>
          </w:p>
        </w:tc>
      </w:tr>
      <w:tr w:rsidR="004A4E08" w:rsidTr="00F578C2">
        <w:trPr>
          <w:trHeight w:val="493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9:40-10:00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合影留念</w:t>
            </w:r>
          </w:p>
        </w:tc>
      </w:tr>
      <w:tr w:rsidR="004A4E08" w:rsidTr="00F578C2">
        <w:trPr>
          <w:trHeight w:val="16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1：法定规划的供给</w:t>
            </w:r>
            <w:proofErr w:type="gramStart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侧改革</w:t>
            </w:r>
            <w:proofErr w:type="gramEnd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思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吕传廷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学术委员会主任委员、广州市城市规划编制研究中心主任</w:t>
            </w:r>
          </w:p>
        </w:tc>
      </w:tr>
      <w:tr w:rsidR="004A4E08" w:rsidTr="00F578C2">
        <w:trPr>
          <w:trHeight w:val="163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2：从</w:t>
            </w:r>
            <w:proofErr w:type="gramStart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建管一体化角度推进法定规划改革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李永洁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学术委员会委员、广东省住房和城乡建设厅总规划师</w:t>
            </w:r>
          </w:p>
        </w:tc>
      </w:tr>
      <w:tr w:rsidR="004A4E08" w:rsidTr="00F578C2">
        <w:trPr>
          <w:trHeight w:val="163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3：技术、政策和管理融合视角下对法定规划变革的思辨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王晓东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学术委员会副主任委员、清华同衡规划设计研究院副院长</w:t>
            </w:r>
          </w:p>
        </w:tc>
      </w:tr>
      <w:tr w:rsidR="004A4E08" w:rsidTr="00F578C2">
        <w:trPr>
          <w:trHeight w:val="163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4：从明确性与灵活性的有效平衡看香港的法定规划与发展控制体系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凌嘉勤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香港大学荣誉教授、香港规划师学会原会长</w:t>
            </w:r>
          </w:p>
        </w:tc>
      </w:tr>
      <w:tr w:rsidR="004A4E08" w:rsidTr="00F578C2">
        <w:trPr>
          <w:trHeight w:val="416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午餐：自理</w:t>
            </w:r>
          </w:p>
        </w:tc>
      </w:tr>
      <w:tr w:rsidR="004A4E08" w:rsidTr="00F578C2">
        <w:trPr>
          <w:trHeight w:val="30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-14：30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A4E08" w:rsidTr="00F578C2">
        <w:trPr>
          <w:trHeight w:val="140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14:30-17：00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报告5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：控</w:t>
            </w:r>
            <w:proofErr w:type="gramStart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在国家空间治理中的角色与地位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何艳玲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学术委员会委员、中山大学教授</w:t>
            </w:r>
          </w:p>
        </w:tc>
      </w:tr>
      <w:tr w:rsidR="004A4E08" w:rsidTr="00F578C2">
        <w:trPr>
          <w:trHeight w:val="140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报告6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“总控行”联动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王引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学术委员会委员、北京市城市规划设计研究院总规划师</w:t>
            </w:r>
          </w:p>
        </w:tc>
      </w:tr>
      <w:tr w:rsidR="004A4E08" w:rsidTr="00F578C2">
        <w:trPr>
          <w:trHeight w:val="140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报告7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从工程建设计划到土地开发控制——控制性详细规划作为政府职能转型的标志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周剑云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学术委员会委员、华南理工大学教授</w:t>
            </w:r>
          </w:p>
        </w:tc>
      </w:tr>
      <w:tr w:rsidR="004A4E08" w:rsidTr="00F578C2">
        <w:trPr>
          <w:trHeight w:val="140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报告8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控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的“度”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刘奇志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学术委员会副主任委员、武汉市国土资源和规划局副局长</w:t>
            </w:r>
          </w:p>
        </w:tc>
      </w:tr>
      <w:tr w:rsidR="004A4E08" w:rsidTr="00F578C2">
        <w:trPr>
          <w:trHeight w:val="140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报告9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基于土地供给侧的房地产市场调控研究</w:t>
            </w:r>
          </w:p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黄贤金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中国城市规划学会控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学术委员会副主任委员、南京大学地理与海洋科学学院副院长</w:t>
            </w:r>
          </w:p>
        </w:tc>
      </w:tr>
      <w:tr w:rsidR="004A4E08" w:rsidTr="00F578C2">
        <w:trPr>
          <w:trHeight w:val="562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17:00-17:30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E08" w:rsidRDefault="004A4E08" w:rsidP="00F578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交流讨论</w:t>
            </w:r>
          </w:p>
        </w:tc>
      </w:tr>
    </w:tbl>
    <w:p w:rsidR="004A4E08" w:rsidRDefault="004A4E08" w:rsidP="004A4E08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</w:p>
    <w:p w:rsidR="004A4E08" w:rsidRDefault="004A4E08" w:rsidP="004A4E08">
      <w:pPr>
        <w:adjustRightInd w:val="0"/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:rsidR="00955768" w:rsidRDefault="00955768" w:rsidP="004A4E08"/>
    <w:sectPr w:rsidR="0095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89" w:rsidRDefault="00635689" w:rsidP="00EC0550">
      <w:r>
        <w:separator/>
      </w:r>
    </w:p>
  </w:endnote>
  <w:endnote w:type="continuationSeparator" w:id="0">
    <w:p w:rsidR="00635689" w:rsidRDefault="00635689" w:rsidP="00EC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89" w:rsidRDefault="00635689" w:rsidP="00EC0550">
      <w:r>
        <w:separator/>
      </w:r>
    </w:p>
  </w:footnote>
  <w:footnote w:type="continuationSeparator" w:id="0">
    <w:p w:rsidR="00635689" w:rsidRDefault="00635689" w:rsidP="00EC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08"/>
    <w:rsid w:val="004A4E08"/>
    <w:rsid w:val="00635689"/>
    <w:rsid w:val="00955768"/>
    <w:rsid w:val="00E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55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55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55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55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2</cp:revision>
  <dcterms:created xsi:type="dcterms:W3CDTF">2017-05-18T06:58:00Z</dcterms:created>
  <dcterms:modified xsi:type="dcterms:W3CDTF">2017-05-18T07:00:00Z</dcterms:modified>
</cp:coreProperties>
</file>